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5 vom 20. Juni 2019</w:t>
      </w:r>
    </w:p>
    <w:p>
      <w:r>
        <w:t>GR Gerichte, 2019-06-20, IT</w:t>
      </w:r>
    </w:p>
    <w:p>
      <w:r>
        <w:rPr>
          <w:b/>
        </w:rPr>
        <w:t xml:space="preserve">Quelle: </w:t>
      </w:r>
      <w:r>
        <w:t>https://mcp.opencaselaw.ch/entscheid/gr_gerichte_ZK2 2019 5</w:t>
      </w:r>
    </w:p>
    <w:p>
      <w:r>
        <w:t>FR: GR_GERICHTE ZK2 2019 5 du 20 juin 2019</w:t>
      </w:r>
    </w:p>
    <w:p>
      <w:r>
        <w:t>IT: GR_GERICHTE ZK2 2019 5 del 20 giugno 2019</w:t>
      </w:r>
    </w:p>
    <w:p>
      <w:pPr>
        <w:pStyle w:val="Heading2"/>
      </w:pPr>
      <w:r>
        <w:t>Regeste</w:t>
      </w:r>
    </w:p>
    <w:p>
      <w:r>
        <w:t>misure giusta l'art. 731b CO | Berufung OR AG/andere Handelsgesellschaft/Genossenschaft</w:t>
      </w:r>
    </w:p>
    <w:p>
      <w:pPr>
        <w:pStyle w:val="Heading2"/>
      </w:pPr>
      <w:r>
        <w:t>Erwägungen</w:t>
      </w:r>
    </w:p>
    <w:p>
      <w:r>
        <w:rPr>
          <w:b/>
        </w:rPr>
        <w:t>E. 7</w:t>
      </w:r>
    </w:p>
    <w:p>
      <w:r>
        <w:t>/ 7 La Seconda Camera civile giudica: 1. L'appello è accolto. La decisione del Tribunale regionale Moesa del 24 gen- naio 2019 è annullata. 2. Non si entra nel merito dell'istanza 18 gennaio 2019 di Y._____. 3. Per il procedimento di prima istanza non sono prelevate tasse processuali e non sono assegnate ripetibili. 4. La tassa di giustizia per la procedura di appello, di CHF 2'000.00, va a carico di Y._____ e viene prelevata dall'anticipo di stessa entità anticipato dalla X._____. Y._____ è tenuta a rimborsare direttamente alla X._____ CHF 2'000.00. Non si assegnano ripetibili. 5.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 so,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